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69" w:type="dxa"/>
        <w:tblLayout w:type="fixed"/>
        <w:tblLook w:val="04A0"/>
      </w:tblPr>
      <w:tblGrid>
        <w:gridCol w:w="1311"/>
        <w:gridCol w:w="1240"/>
        <w:gridCol w:w="2729"/>
        <w:gridCol w:w="1417"/>
        <w:gridCol w:w="1279"/>
        <w:gridCol w:w="236"/>
        <w:gridCol w:w="7876"/>
      </w:tblGrid>
      <w:tr w:rsidR="009C4286" w:rsidTr="00AE7F30">
        <w:trPr>
          <w:jc w:val="center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147A0D" w:rsidP="00576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الثاني : ال</w:t>
            </w:r>
            <w:r w:rsidR="0057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ضوء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DF14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: </w:t>
            </w:r>
            <w:r w:rsidR="00DF14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31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المدة الزمنية </w:t>
            </w:r>
            <w:proofErr w:type="spellStart"/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ســـاعة </w:t>
            </w:r>
            <w:proofErr w:type="spellStart"/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314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proofErr w:type="spellStart"/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629D" w:rsidRPr="00DD629D" w:rsidRDefault="00DD629D" w:rsidP="00DD629D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يسود تدريجيا محتوى الأنبوب المعرض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للضوء،</w:t>
            </w:r>
            <w:proofErr w:type="spellEnd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بينما لا يتغير لون الأنبوب المحجوب عنه. إذن يعتبر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كلورور</w:t>
            </w:r>
            <w:proofErr w:type="spellEnd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الفضة مستقبلا كيميائيا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للضوء،</w:t>
            </w:r>
            <w:proofErr w:type="spellEnd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و يستعمل في صناعة الأشرطة الفوتوغرافية.</w:t>
            </w:r>
          </w:p>
          <w:p w:rsidR="00DD629D" w:rsidRPr="00DD629D" w:rsidRDefault="00DD629D" w:rsidP="00DD629D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ملحوظة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DD629D" w:rsidRPr="00DD629D" w:rsidRDefault="00DD629D" w:rsidP="00DD629D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هناك ثنائيات قطب تسمى المقاومة الكهربائية تستعمل في الدارة الكهربائية كقاطع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للتيار؛</w:t>
            </w:r>
            <w:proofErr w:type="spellEnd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بحيث أنها تسمح بمرور التيار فقط عندما تتعرض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للضوء،</w:t>
            </w:r>
            <w:proofErr w:type="spellEnd"/>
            <w:r w:rsidRPr="00DD62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بينما تمنع مروره إن كانت في مكان مظلم.</w:t>
            </w:r>
          </w:p>
          <w:p w:rsidR="00DD629D" w:rsidRPr="00DD629D" w:rsidRDefault="00DD629D" w:rsidP="00DD629D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3-</w:t>
            </w:r>
            <w:proofErr w:type="spellEnd"/>
            <w:r w:rsidRPr="00DD62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خلاصة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DD629D" w:rsidRPr="00DD629D" w:rsidRDefault="00DD629D" w:rsidP="00DD629D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مستقبلات الضوء هي كل الأجسام التي تتأثر و تطرأ عليها تغيرات عند تعرضها له. و تنقسم المستقبلات الضوئية إلى :</w:t>
            </w:r>
          </w:p>
          <w:p w:rsidR="00DD629D" w:rsidRPr="00DD629D" w:rsidRDefault="00DD629D" w:rsidP="00DD629D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مستقبلات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كهرضوئية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كالألواح الشمسية...</w:t>
            </w:r>
          </w:p>
          <w:p w:rsidR="00DD629D" w:rsidRPr="00DD629D" w:rsidRDefault="00DD629D" w:rsidP="00DD629D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مستقبلات كيميائية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ككلورور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الفضة ...</w:t>
            </w:r>
          </w:p>
          <w:p w:rsidR="00091C51" w:rsidRPr="002023F0" w:rsidRDefault="00DD629D" w:rsidP="00DD629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مستقبلات بيولوجية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كخلايا العين و بعض الخلايا النباتات.</w:t>
            </w:r>
          </w:p>
        </w:tc>
      </w:tr>
      <w:tr w:rsidR="009C4286" w:rsidTr="008C779B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C6261A">
        <w:trPr>
          <w:trHeight w:val="175"/>
          <w:jc w:val="center"/>
        </w:trPr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C4286" w:rsidRPr="009C4286" w:rsidRDefault="009C4286" w:rsidP="00C6261A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9C4286">
              <w:rPr>
                <w:rFonts w:cs="AdvertisingBold" w:hint="cs"/>
                <w:sz w:val="36"/>
                <w:szCs w:val="36"/>
                <w:rtl/>
              </w:rPr>
              <w:t>ال</w:t>
            </w:r>
            <w:proofErr w:type="spellStart"/>
            <w:r w:rsidR="005769AE">
              <w:rPr>
                <w:rFonts w:cs="AdvertisingBold" w:hint="cs"/>
                <w:sz w:val="36"/>
                <w:szCs w:val="36"/>
                <w:rtl/>
                <w:lang w:bidi="ar-MA"/>
              </w:rPr>
              <w:t>ضو</w:t>
            </w:r>
            <w:proofErr w:type="spellEnd"/>
            <w:r w:rsidRPr="009C4286">
              <w:rPr>
                <w:rFonts w:cs="AdvertisingBold" w:hint="cs"/>
                <w:sz w:val="36"/>
                <w:szCs w:val="36"/>
                <w:rtl/>
              </w:rPr>
              <w:t xml:space="preserve">ء </w:t>
            </w:r>
            <w:r w:rsidR="00EE6236">
              <w:rPr>
                <w:rFonts w:cs="AdvertisingBold" w:hint="cs"/>
                <w:sz w:val="36"/>
                <w:szCs w:val="36"/>
                <w:rtl/>
              </w:rPr>
              <w:t>: منابعه و مستقبلاته</w:t>
            </w:r>
          </w:p>
          <w:p w:rsidR="009C4286" w:rsidRPr="009C4286" w:rsidRDefault="009C4286" w:rsidP="00C6261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61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</w:t>
            </w:r>
            <w:r w:rsidR="00AE22DD" w:rsidRPr="00C6261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 lumière</w:t>
            </w:r>
            <w:r w:rsidR="00C6261A" w:rsidRPr="00C6261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 w:rsidRPr="00C6261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C6261A" w:rsidRPr="00C6261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Sources et </w:t>
            </w:r>
            <w:proofErr w:type="spellStart"/>
            <w:r w:rsidR="00C6261A" w:rsidRPr="00C6261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Recepteurs</w:t>
            </w:r>
            <w:proofErr w:type="spellEnd"/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117A0" w:rsidTr="00FA5DE6">
        <w:trPr>
          <w:trHeight w:val="9282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D" w:rsidRDefault="00DD629D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</w:p>
          <w:p w:rsidR="009117A0" w:rsidRPr="00DD629D" w:rsidRDefault="009117A0" w:rsidP="00DD629D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DD629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الضوء من حولنا :</w:t>
            </w:r>
          </w:p>
          <w:p w:rsidR="009117A0" w:rsidRPr="009117A0" w:rsidRDefault="009117A0" w:rsidP="0041558D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تعد الشمس المصدر الرئيسي للضوء بالنسبة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للأرض،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فرغم أن جزئا صغيرا فقط من الإشعاعات الشمسية ينفذ عبر الغلاف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الجوي،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إلا أنها أساسية لاستمرار الحياة </w:t>
            </w:r>
            <w:proofErr w:type="spellStart"/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الارض،</w:t>
            </w:r>
            <w:proofErr w:type="spellEnd"/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سواء بالنسبة لل</w:t>
            </w: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نبات</w:t>
            </w:r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ات</w:t>
            </w: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أو </w:t>
            </w:r>
            <w:proofErr w:type="spellStart"/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الحيوانات</w:t>
            </w: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حيث تحول النباتات الضوء إلى</w:t>
            </w:r>
            <w:r w:rsid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طاقة بفعل ظاهرة التركيب الضوئي.</w:t>
            </w:r>
          </w:p>
          <w:p w:rsidR="009117A0" w:rsidRPr="009117A0" w:rsidRDefault="009117A0" w:rsidP="0041558D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و نظرا لدوران الأرض حول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نفسها،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يتعاقب الليل و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النهار،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مما دفع الإنسان للاستعانة ليلا بضوء القمر المستمد من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الشمس،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على مر التاريخ تم</w:t>
            </w: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استعم</w:t>
            </w:r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</w:t>
            </w: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ل </w:t>
            </w:r>
            <w:r w:rsidR="0041558D"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أساليب</w:t>
            </w:r>
            <w:r w:rsidR="0041558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متنوعة لل</w:t>
            </w:r>
            <w:r w:rsidR="0041558D"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إضاءة</w:t>
            </w:r>
            <w:r w:rsidR="00580523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بداية</w:t>
            </w:r>
            <w:r w:rsidR="0041558D"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580523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ب</w:t>
            </w: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ضوء النار إلى أن تطورت و تم اكتشاف الكهرباء ثم المصباح الكهربائي من طرف</w:t>
            </w:r>
            <w:r w:rsidR="00580523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580523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طوماس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إديسون سنة </w:t>
            </w:r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1878</w:t>
            </w: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9117A0" w:rsidRPr="00683FE3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:rsidR="009117A0" w:rsidRPr="00DD629D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lang w:val="en-US" w:bidi="ar-MA"/>
              </w:rPr>
              <w:t>II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المنابع الضوئية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9117A0" w:rsidRDefault="00BB4EC8" w:rsidP="00C5642B">
            <w:pPr>
              <w:bidi/>
              <w:spacing w:before="120" w:after="120"/>
              <w:ind w:right="14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26" style="position:absolute;left:0;text-align:left;margin-left:2.4pt;margin-top:9.45pt;width:140.25pt;height:106.7pt;z-index:251659264" coordorigin="8924,7408" coordsize="3198,2413">
                  <v:rect id="_x0000_s1027" style="position:absolute;left:8924;top:7408;width:3198;height:2413"/>
                  <v:group id="_x0000_s1028" style="position:absolute;left:8991;top:7471;width:2995;height:2311" coordorigin="9781,5059" coordsize="3968,3037">
                    <v:group id="_x0000_s1029" style="position:absolute;left:13329;top:6340;width:420;height:743" coordorigin="13329,6340" coordsize="420,743">
                      <v:oval id="_x0000_s1030" style="position:absolute;left:13329;top:6513;width:193;height:375"/>
                      <v:oval id="_x0000_s1031" style="position:absolute;left:13329;top:6616;width:78;height:194" fillcolor="black [3213]"/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32" type="#_x0000_t19" style="position:absolute;left:13384;top:6365;width:389;height:340;rotation:-18365357fd;flip:x" strokeweight="1.5pt"/>
                      <v:shape id="_x0000_s1033" type="#_x0000_t19" style="position:absolute;left:13409;top:6722;width:340;height:361;rotation:-35904734fd;flip:y" strokeweight="1.5pt"/>
                    </v:group>
                    <v:group id="_x0000_s1034" style="position:absolute;left:9781;top:5059;width:3559;height:3037" coordorigin="9781,5059" coordsize="3559,3037">
                      <v:group id="_x0000_s1035" style="position:absolute;left:11419;top:5059;width:454;height:571" coordorigin="11637,5059" coordsize="454,571">
                        <v:oval id="_x0000_s1036" style="position:absolute;left:11637;top:5202;width:454;height:428"/>
                        <v:rect id="_x0000_s1037" style="position:absolute;left:11780;top:5059;width:181;height:169"/>
                      </v:group>
                      <v:group id="_x0000_s1038" style="position:absolute;left:9781;top:6175;width:1492;height:1921" coordorigin="9781,6175" coordsize="1492,1921">
                        <v:rect id="_x0000_s1039" style="position:absolute;left:9807;top:7550;width:71;height:546"/>
                        <v:rect id="_x0000_s1040" style="position:absolute;left:10400;top:7537;width:71;height:546"/>
                        <v:rect id="_x0000_s1041" style="position:absolute;left:11202;top:6175;width:71;height:546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_x0000_s1042" type="#_x0000_t7" style="position:absolute;left:9781;top:6175;width:1492;height:1362" adj="11596"/>
                      </v:group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_x0000_s1043" type="#_x0000_t23" style="position:absolute;left:10211;top:6340;width:824;height:389"/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_x0000_s1044" type="#_x0000_t84" style="position:absolute;left:10346;top:6605;width:375;height:398;rotation:6401241f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5" type="#_x0000_t32" style="position:absolute;left:10914;top:5567;width:571;height:830;flip:x" o:connectortype="straight">
                        <v:stroke endarrow="block"/>
                      </v:shape>
                      <v:shape id="_x0000_s1046" type="#_x0000_t32" style="position:absolute;left:10384;top:5567;width:1101;height:1216;flip:x" o:connectortype="straight">
                        <v:stroke endarrow="block"/>
                      </v:shape>
                      <v:shape id="_x0000_s1047" type="#_x0000_t32" style="position:absolute;left:10685;top:6713;width:2644;height:110;flip:y" o:connectortype="straight">
                        <v:stroke endarrow="block"/>
                      </v:shape>
                      <v:shape id="_x0000_s1048" type="#_x0000_t32" style="position:absolute;left:11807;top:5567;width:1533;height:1077" o:connectortype="straight">
                        <v:stroke endarrow="block"/>
                      </v:shape>
                      <v:shape id="_x0000_s1049" type="#_x0000_t32" style="position:absolute;left:11035;top:6535;width:2294;height:178" o:connectortype="straight">
                        <v:stroke endarrow="block"/>
                      </v:shape>
                    </v:group>
                  </v:group>
                </v:group>
              </w:pict>
            </w:r>
            <w:r w:rsidR="009117A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="009117A0" w:rsidRPr="009962D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="009117A0" w:rsidRPr="009962D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نشاط </w:t>
            </w:r>
            <w:proofErr w:type="spellStart"/>
            <w:r w:rsidR="009117A0" w:rsidRPr="009962D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="009117A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42B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C5642B"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(</w:t>
            </w:r>
            <w:r w:rsidR="009117A0"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الوثيقة ص:115)</w:t>
            </w:r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في الظلام لا يمكن رؤية الأشياء المحيطة بنا.</w:t>
            </w:r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نستطيع رؤية الأشياء بسبب إضاءتها بواسطة مصباح.</w:t>
            </w:r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يبعث كل من المصباح و الأجسام المضاءة الضوء إلى أعيننا.</w:t>
            </w:r>
          </w:p>
          <w:p w:rsidR="009117A0" w:rsidRPr="009962DC" w:rsidRDefault="009117A0" w:rsidP="00833371">
            <w:pPr>
              <w:bidi/>
              <w:spacing w:before="120" w:after="120"/>
              <w:ind w:right="14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Pr="009962D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9962D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استنتاجات </w:t>
            </w:r>
            <w:proofErr w:type="spellStart"/>
            <w:r w:rsidRPr="009962D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نقول إن كلا من المصباح و الأجسام المضاءة منابع ضوئية.</w:t>
            </w:r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بصفة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عامة،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يمكن تصنيف المنابع الضوئية إلى :</w:t>
            </w:r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منابع أولية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تنتج الضوء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(الشمس،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المصباح...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منابع ثانوية </w:t>
            </w:r>
            <w:proofErr w:type="spellStart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لا تنتج الضوء و لا تبعثه إلا إذا كانت</w:t>
            </w:r>
          </w:p>
          <w:p w:rsidR="009117A0" w:rsidRP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9117A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مضــــاءة.</w:t>
            </w:r>
          </w:p>
          <w:p w:rsidR="009117A0" w:rsidRPr="00F97892" w:rsidRDefault="009117A0" w:rsidP="00833371">
            <w:pPr>
              <w:bidi/>
              <w:ind w:right="150" w:firstLine="708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9117A0" w:rsidRPr="00DD629D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DD629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III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مستقبلات الضوء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9117A0" w:rsidRDefault="009117A0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04930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2748280</wp:posOffset>
                  </wp:positionH>
                  <wp:positionV relativeFrom="line">
                    <wp:posOffset>297180</wp:posOffset>
                  </wp:positionV>
                  <wp:extent cx="2163445" cy="1103630"/>
                  <wp:effectExtent l="19050" t="0" r="8255" b="0"/>
                  <wp:wrapSquare wrapText="bothSides"/>
                  <wp:docPr id="2" name="Image 23" descr="http://zyadpc.ifrance.com/images/nouv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yadpc.ifrance.com/images/nouv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93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Pr="00D906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Pr="00D906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D906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أنشطة </w:t>
            </w:r>
            <w:proofErr w:type="spellStart"/>
            <w:r w:rsidRPr="00D906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D629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42B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(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الوثائق ص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116+117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</w:p>
          <w:p w:rsidR="009117A0" w:rsidRPr="00B479D9" w:rsidRDefault="009117A0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</w:p>
          <w:p w:rsidR="009117A0" w:rsidRPr="00B479D9" w:rsidRDefault="00BB4EC8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BB4EC8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50" style="position:absolute;left:0;text-align:left;margin-left:15.5pt;margin-top:1.65pt;width:193.85pt;height:74.55pt;z-index:251660288" coordorigin="8632,8861" coordsize="3877,1491">
                  <v:rect id="_x0000_s1051" style="position:absolute;left:8632;top:8861;width:3877;height:1491"/>
                  <v:group id="_x0000_s1052" style="position:absolute;left:8869;top:9029;width:3501;height:1155" coordorigin="8838,9029" coordsize="3501,1155">
                    <v:group id="_x0000_s1053" style="position:absolute;left:11419;top:9029;width:365;height:1155" coordorigin="11251,9029" coordsize="365,1155">
                      <v:group id="_x0000_s1054" style="position:absolute;left:11251;top:9029;width:365;height:1155" coordorigin="11220,9029" coordsize="365,1155">
                        <v:oval id="_x0000_s1055" style="position:absolute;left:11222;top:9834;width:363;height:350" strokeweight="1pt"/>
                        <v:rect id="_x0000_s1056" style="position:absolute;left:11220;top:9029;width:365;height:1025" strokeweight="1pt"/>
                      </v:group>
                      <v:oval id="_x0000_s1057" style="position:absolute;left:11260;top:9834;width:350;height:285" fillcolor="white [3212]" strokecolor="white [3212]"/>
                    </v:group>
                    <v:rect id="_x0000_s1058" style="position:absolute;left:11401;top:9185;width:414;height:999" fillcolor="#a5a5a5 [2092]"/>
                    <v:shape id="_x0000_s1059" type="#_x0000_t32" style="position:absolute;left:10107;top:9613;width:1107;height:0;flip:x" o:connectortype="straight" strokeweight="3pt">
                      <v:stroke endarrow="block"/>
                    </v:shape>
                    <v:group id="_x0000_s1060" style="position:absolute;left:11967;top:9029;width:372;height:1155" coordorigin="11936,9029" coordsize="372,1155">
                      <v:group id="_x0000_s1061" style="position:absolute;left:11943;top:9029;width:365;height:1155" coordorigin="11251,9029" coordsize="365,1155">
                        <v:group id="_x0000_s1062" style="position:absolute;left:11251;top:9029;width:365;height:1155" coordorigin="11220,9029" coordsize="365,1155">
                          <v:oval id="_x0000_s1063" style="position:absolute;left:11222;top:9834;width:363;height:350" strokeweight="1pt"/>
                          <v:rect id="_x0000_s1064" style="position:absolute;left:11220;top:9029;width:365;height:1025" strokeweight="1pt"/>
                        </v:group>
                        <v:oval id="_x0000_s1065" style="position:absolute;left:11260;top:9834;width:350;height:285" fillcolor="white [3212]" strokecolor="white [3212]"/>
                      </v:group>
                      <v:shape id="_x0000_s1066" type="#_x0000_t32" style="position:absolute;left:11936;top:9379;width:357;height:0;flip:x" o:connectortype="straight"/>
                    </v:group>
                    <v:group id="_x0000_s1067" style="position:absolute;left:8838;top:9029;width:372;height:1155" coordorigin="11936,9029" coordsize="372,1155">
                      <v:group id="_x0000_s1068" style="position:absolute;left:11943;top:9029;width:365;height:1155" coordorigin="11251,9029" coordsize="365,1155">
                        <v:group id="_x0000_s1069" style="position:absolute;left:11251;top:9029;width:365;height:1155" coordorigin="11220,9029" coordsize="365,1155">
                          <v:oval id="_x0000_s1070" style="position:absolute;left:11222;top:9834;width:363;height:350" strokeweight="1pt"/>
                          <v:rect id="_x0000_s1071" style="position:absolute;left:11220;top:9029;width:365;height:1025" strokeweight="1pt"/>
                        </v:group>
                        <v:oval id="_x0000_s1072" style="position:absolute;left:11260;top:9834;width:350;height:285" fillcolor="white [3212]" strokecolor="white [3212]"/>
                      </v:group>
                      <v:shape id="_x0000_s1073" type="#_x0000_t32" style="position:absolute;left:11936;top:9379;width:357;height:0;flip:x" o:connectortype="straight"/>
                    </v:group>
                    <v:group id="_x0000_s1074" style="position:absolute;left:9473;top:9029;width:372;height:1155" coordorigin="9442,9029" coordsize="372,1155">
                      <v:group id="_x0000_s1075" style="position:absolute;left:9442;top:9029;width:372;height:1155" coordorigin="11936,9029" coordsize="372,1155">
                        <v:group id="_x0000_s1076" style="position:absolute;left:11943;top:9029;width:365;height:1155" coordorigin="11251,9029" coordsize="365,1155">
                          <v:group id="_x0000_s1077" style="position:absolute;left:11251;top:9029;width:365;height:1155" coordorigin="11220,9029" coordsize="365,1155">
                            <v:oval id="_x0000_s1078" style="position:absolute;left:11222;top:9834;width:363;height:350" fillcolor="#d8d8d8 [2732]" strokeweight="1pt"/>
                            <v:rect id="_x0000_s1079" style="position:absolute;left:11220;top:9029;width:365;height:1025" strokeweight="1pt"/>
                          </v:group>
                          <v:oval id="_x0000_s1080" style="position:absolute;left:11260;top:9834;width:350;height:285" fillcolor="#d8d8d8 [2732]" strokecolor="#d8d8d8 [2732]"/>
                        </v:group>
                        <v:shape id="_x0000_s1081" type="#_x0000_t32" style="position:absolute;left:11936;top:9379;width:357;height:0;flip:x" o:connectortype="straight"/>
                      </v:group>
                      <v:rect id="_x0000_s1082" style="position:absolute;left:9459;top:9379;width:341;height:610" fillcolor="#d8d8d8 [2732]" strokecolor="#d8d8d8 [2732]"/>
                    </v:group>
                  </v:group>
                </v:group>
              </w:pict>
            </w:r>
          </w:p>
          <w:p w:rsidR="009117A0" w:rsidRPr="00B479D9" w:rsidRDefault="009117A0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</w:p>
          <w:p w:rsidR="009117A0" w:rsidRPr="00B479D9" w:rsidRDefault="009117A0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</w:p>
          <w:p w:rsidR="009117A0" w:rsidRPr="00B479D9" w:rsidRDefault="009117A0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</w:p>
          <w:p w:rsidR="009117A0" w:rsidRPr="00B479D9" w:rsidRDefault="009117A0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</w:p>
          <w:p w:rsidR="009117A0" w:rsidRPr="00B479D9" w:rsidRDefault="009117A0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</w:p>
          <w:p w:rsidR="009117A0" w:rsidRPr="00DD629D" w:rsidRDefault="009117A0" w:rsidP="00833371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تتأثر الخلايا الحساسة لشبكية العين بالضوء الوارد </w:t>
            </w:r>
            <w:proofErr w:type="spellStart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>عليها،</w:t>
            </w:r>
            <w:proofErr w:type="spellEnd"/>
            <w:r w:rsidRPr="00DD62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MA"/>
              </w:rPr>
              <w:t xml:space="preserve"> فتحوله إلى معلومات تنقل عبر العصب البصري إلى الدماغ الذي يقوم بترجمتها.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</w:tr>
    </w:tbl>
    <w:p w:rsidR="003B24EF" w:rsidRPr="002023F0" w:rsidRDefault="003B24EF" w:rsidP="002023F0">
      <w:pPr>
        <w:bidi/>
        <w:rPr>
          <w:b/>
          <w:bCs/>
          <w:sz w:val="2"/>
          <w:szCs w:val="2"/>
        </w:rPr>
      </w:pPr>
    </w:p>
    <w:sectPr w:rsidR="003B24EF" w:rsidRPr="002023F0" w:rsidSect="009D0332">
      <w:headerReference w:type="default" r:id="rId7"/>
      <w:pgSz w:w="16838" w:h="11906" w:orient="landscape"/>
      <w:pgMar w:top="567" w:right="395" w:bottom="142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67" w:rsidRDefault="00246767" w:rsidP="009D0332">
      <w:pPr>
        <w:spacing w:after="0" w:line="240" w:lineRule="auto"/>
      </w:pPr>
      <w:r>
        <w:separator/>
      </w:r>
    </w:p>
  </w:endnote>
  <w:endnote w:type="continuationSeparator" w:id="0">
    <w:p w:rsidR="00246767" w:rsidRDefault="00246767" w:rsidP="009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67" w:rsidRDefault="00246767" w:rsidP="009D0332">
      <w:pPr>
        <w:spacing w:after="0" w:line="240" w:lineRule="auto"/>
      </w:pPr>
      <w:r>
        <w:separator/>
      </w:r>
    </w:p>
  </w:footnote>
  <w:footnote w:type="continuationSeparator" w:id="0">
    <w:p w:rsidR="00246767" w:rsidRDefault="00246767" w:rsidP="009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32" w:rsidRDefault="009D0332" w:rsidP="009D0332">
    <w:pPr>
      <w:pStyle w:val="En-tte"/>
      <w:bidi/>
      <w:ind w:right="-142"/>
      <w:rPr>
        <w:lang w:bidi="ar-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91C51"/>
    <w:rsid w:val="000A4E92"/>
    <w:rsid w:val="000B0A63"/>
    <w:rsid w:val="000E2B42"/>
    <w:rsid w:val="0010533E"/>
    <w:rsid w:val="001220CF"/>
    <w:rsid w:val="00147A0D"/>
    <w:rsid w:val="001D2CAC"/>
    <w:rsid w:val="002023F0"/>
    <w:rsid w:val="00207F66"/>
    <w:rsid w:val="00246767"/>
    <w:rsid w:val="002A064A"/>
    <w:rsid w:val="00314EA3"/>
    <w:rsid w:val="003B24EF"/>
    <w:rsid w:val="0041558D"/>
    <w:rsid w:val="00433871"/>
    <w:rsid w:val="00500418"/>
    <w:rsid w:val="005769AE"/>
    <w:rsid w:val="00580523"/>
    <w:rsid w:val="0063742C"/>
    <w:rsid w:val="00644A58"/>
    <w:rsid w:val="0066327E"/>
    <w:rsid w:val="006748B6"/>
    <w:rsid w:val="00683FE3"/>
    <w:rsid w:val="00687B19"/>
    <w:rsid w:val="006D51E8"/>
    <w:rsid w:val="007154FD"/>
    <w:rsid w:val="007308B7"/>
    <w:rsid w:val="0075786F"/>
    <w:rsid w:val="007B07FB"/>
    <w:rsid w:val="007C3040"/>
    <w:rsid w:val="008B2DD0"/>
    <w:rsid w:val="008C271B"/>
    <w:rsid w:val="008C779B"/>
    <w:rsid w:val="009117A0"/>
    <w:rsid w:val="00976D7F"/>
    <w:rsid w:val="00980A80"/>
    <w:rsid w:val="009B521D"/>
    <w:rsid w:val="009B55CD"/>
    <w:rsid w:val="009C0F7F"/>
    <w:rsid w:val="009C4286"/>
    <w:rsid w:val="009D0332"/>
    <w:rsid w:val="009E1DA3"/>
    <w:rsid w:val="00A154A8"/>
    <w:rsid w:val="00A20FCF"/>
    <w:rsid w:val="00A21A70"/>
    <w:rsid w:val="00AB07B5"/>
    <w:rsid w:val="00AE22DD"/>
    <w:rsid w:val="00AE7F30"/>
    <w:rsid w:val="00B1350B"/>
    <w:rsid w:val="00B17E6C"/>
    <w:rsid w:val="00B41259"/>
    <w:rsid w:val="00B6467C"/>
    <w:rsid w:val="00B81D75"/>
    <w:rsid w:val="00BA03B0"/>
    <w:rsid w:val="00BA60D2"/>
    <w:rsid w:val="00BB09DA"/>
    <w:rsid w:val="00BB4EC8"/>
    <w:rsid w:val="00BF3998"/>
    <w:rsid w:val="00BF7BF4"/>
    <w:rsid w:val="00C5642B"/>
    <w:rsid w:val="00C6261A"/>
    <w:rsid w:val="00D4012F"/>
    <w:rsid w:val="00D70E22"/>
    <w:rsid w:val="00DD629D"/>
    <w:rsid w:val="00DE3AE4"/>
    <w:rsid w:val="00DF143D"/>
    <w:rsid w:val="00E12AB3"/>
    <w:rsid w:val="00E42BE8"/>
    <w:rsid w:val="00EE6236"/>
    <w:rsid w:val="00F97892"/>
    <w:rsid w:val="00FA23E7"/>
    <w:rsid w:val="00FA5DE6"/>
    <w:rsid w:val="00FB3A7A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arc" idref="#_x0000_s1032"/>
        <o:r id="V:Rule2" type="arc" idref="#_x0000_s1033"/>
        <o:r id="V:Rule12" type="connector" idref="#_x0000_s1045">
          <o:proxy start="" idref="#_x0000_s1036" connectloc="3"/>
          <o:proxy end="" idref="#_x0000_s1043" connectloc="7"/>
        </o:r>
        <o:r id="V:Rule13" type="connector" idref="#_x0000_s1066"/>
        <o:r id="V:Rule14" type="connector" idref="#_x0000_s1059"/>
        <o:r id="V:Rule15" type="connector" idref="#_x0000_s1047">
          <o:proxy start="" idref="#_x0000_s1044" connectloc="7"/>
          <o:proxy end="" idref="#_x0000_s1031" connectloc="2"/>
        </o:r>
        <o:r id="V:Rule16" type="connector" idref="#_x0000_s1073"/>
        <o:r id="V:Rule17" type="connector" idref="#_x0000_s1049">
          <o:proxy start="" idref="#_x0000_s1043" connectloc="6"/>
          <o:proxy end="" idref="#_x0000_s1031" connectloc="2"/>
        </o:r>
        <o:r id="V:Rule18" type="connector" idref="#_x0000_s1046">
          <o:proxy start="" idref="#_x0000_s1036" connectloc="3"/>
          <o:proxy end="" idref="#_x0000_s1044" connectloc="3"/>
        </o:r>
        <o:r id="V:Rule19" type="connector" idref="#_x0000_s1048">
          <o:proxy start="" idref="#_x0000_s1036" connectloc="5"/>
          <o:proxy end="" idref="#_x0000_s1031" connectloc="1"/>
        </o:r>
        <o:r id="V:Rule2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61</cp:revision>
  <cp:lastPrinted>2012-02-12T20:20:00Z</cp:lastPrinted>
  <dcterms:created xsi:type="dcterms:W3CDTF">2012-02-08T11:52:00Z</dcterms:created>
  <dcterms:modified xsi:type="dcterms:W3CDTF">2012-07-20T00:38:00Z</dcterms:modified>
</cp:coreProperties>
</file>